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655B" w14:textId="77777777" w:rsidR="003E3FA5" w:rsidRPr="003E3FA5" w:rsidRDefault="003E3FA5" w:rsidP="003E3FA5">
      <w:pPr>
        <w:tabs>
          <w:tab w:val="center" w:pos="4320"/>
          <w:tab w:val="right" w:pos="8640"/>
        </w:tabs>
        <w:spacing w:after="0" w:line="240" w:lineRule="auto"/>
        <w:jc w:val="center"/>
        <w:rPr>
          <w:rFonts w:ascii="Times New Roman" w:eastAsia="Times New Roman" w:hAnsi="Times New Roman" w:cs="Times New Roman"/>
          <w:b/>
          <w:i/>
          <w:sz w:val="38"/>
          <w:szCs w:val="20"/>
        </w:rPr>
      </w:pPr>
      <w:r w:rsidRPr="003E3FA5">
        <w:rPr>
          <w:rFonts w:ascii="Times New Roman" w:eastAsia="Times New Roman" w:hAnsi="Times New Roman" w:cs="Times New Roman"/>
          <w:b/>
          <w:i/>
          <w:sz w:val="38"/>
          <w:szCs w:val="20"/>
        </w:rPr>
        <w:t xml:space="preserve">Public Utility Commission of </w:t>
      </w:r>
      <w:smartTag w:uri="urn:schemas-microsoft-com:office:smarttags" w:element="place">
        <w:smartTag w:uri="urn:schemas-microsoft-com:office:smarttags" w:element="State">
          <w:r w:rsidRPr="003E3FA5">
            <w:rPr>
              <w:rFonts w:ascii="Times New Roman" w:eastAsia="Times New Roman" w:hAnsi="Times New Roman" w:cs="Times New Roman"/>
              <w:b/>
              <w:i/>
              <w:sz w:val="38"/>
              <w:szCs w:val="20"/>
            </w:rPr>
            <w:t>Texas</w:t>
          </w:r>
        </w:smartTag>
      </w:smartTag>
    </w:p>
    <w:p w14:paraId="7473F9F8" w14:textId="77777777" w:rsidR="003E3FA5" w:rsidRPr="003E3FA5" w:rsidRDefault="003E3FA5" w:rsidP="003E3FA5">
      <w:pPr>
        <w:tabs>
          <w:tab w:val="left" w:pos="1800"/>
          <w:tab w:val="left" w:pos="6840"/>
          <w:tab w:val="right" w:pos="8640"/>
        </w:tabs>
        <w:spacing w:before="120" w:after="120" w:line="240" w:lineRule="auto"/>
        <w:rPr>
          <w:rFonts w:ascii="Times New Roman" w:eastAsia="Times New Roman" w:hAnsi="Times New Roman" w:cs="Times New Roman"/>
          <w:b/>
          <w:sz w:val="12"/>
          <w:szCs w:val="20"/>
        </w:rPr>
      </w:pPr>
      <w:r w:rsidRPr="003E3FA5">
        <w:rPr>
          <w:rFonts w:ascii="Times New Roman" w:eastAsia="Times New Roman" w:hAnsi="Times New Roman" w:cs="Times New Roman"/>
          <w:b/>
          <w:sz w:val="12"/>
          <w:szCs w:val="20"/>
        </w:rPr>
        <w:tab/>
      </w:r>
      <w:r w:rsidRPr="003E3FA5">
        <w:rPr>
          <w:rFonts w:ascii="Times New Roman" w:eastAsia="Times New Roman" w:hAnsi="Times New Roman" w:cs="Times New Roman"/>
          <w:b/>
          <w:sz w:val="12"/>
          <w:szCs w:val="20"/>
          <w:u w:val="single"/>
        </w:rPr>
        <w:tab/>
      </w:r>
    </w:p>
    <w:p w14:paraId="20499BDA" w14:textId="77777777" w:rsidR="003E3FA5" w:rsidRPr="003E3FA5" w:rsidRDefault="003E3FA5" w:rsidP="003E3FA5">
      <w:pPr>
        <w:spacing w:after="0" w:line="240" w:lineRule="auto"/>
        <w:jc w:val="center"/>
        <w:rPr>
          <w:rFonts w:ascii="Times New Roman" w:eastAsia="Times New Roman" w:hAnsi="Times New Roman" w:cs="Times New Roman"/>
          <w:b/>
          <w:sz w:val="36"/>
          <w:szCs w:val="36"/>
        </w:rPr>
      </w:pPr>
      <w:r w:rsidRPr="003E3FA5">
        <w:rPr>
          <w:rFonts w:ascii="Times New Roman" w:eastAsia="Times New Roman" w:hAnsi="Times New Roman" w:cs="Times New Roman"/>
          <w:b/>
          <w:sz w:val="38"/>
          <w:szCs w:val="20"/>
        </w:rPr>
        <w:t>Memorandum</w:t>
      </w:r>
    </w:p>
    <w:p w14:paraId="42ECC9D8" w14:textId="77777777" w:rsidR="003E3FA5" w:rsidRPr="003E3FA5" w:rsidRDefault="003E3FA5" w:rsidP="003E3FA5">
      <w:pPr>
        <w:spacing w:after="0" w:line="240" w:lineRule="auto"/>
        <w:rPr>
          <w:rFonts w:ascii="Times New Roman" w:eastAsia="Times New Roman" w:hAnsi="Times New Roman" w:cs="Times New Roman"/>
          <w:sz w:val="24"/>
          <w:szCs w:val="20"/>
        </w:rPr>
      </w:pPr>
    </w:p>
    <w:p w14:paraId="11084088" w14:textId="77777777" w:rsidR="003E3FA5" w:rsidRPr="003E3FA5" w:rsidRDefault="003E3FA5" w:rsidP="003E3FA5">
      <w:pPr>
        <w:spacing w:after="0" w:line="240" w:lineRule="auto"/>
        <w:jc w:val="both"/>
        <w:rPr>
          <w:rFonts w:ascii="Times New Roman" w:eastAsia="Times New Roman" w:hAnsi="Times New Roman" w:cs="Times New Roman"/>
          <w:szCs w:val="20"/>
        </w:rPr>
      </w:pPr>
    </w:p>
    <w:p w14:paraId="04A06BD0" w14:textId="431F1C91" w:rsidR="003E3FA5" w:rsidRPr="003E3FA5" w:rsidRDefault="003E3FA5" w:rsidP="003E3FA5">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TO</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r w:rsidR="00B86C37">
        <w:rPr>
          <w:rFonts w:ascii="Times New Roman" w:eastAsia="Times New Roman" w:hAnsi="Times New Roman" w:cs="Times New Roman"/>
          <w:sz w:val="24"/>
          <w:szCs w:val="24"/>
        </w:rPr>
        <w:t>Anthony Kanalas</w:t>
      </w:r>
      <w:r w:rsidR="00B52332">
        <w:rPr>
          <w:rFonts w:ascii="Times New Roman" w:eastAsia="Times New Roman" w:hAnsi="Times New Roman" w:cs="Times New Roman"/>
          <w:sz w:val="24"/>
          <w:szCs w:val="24"/>
        </w:rPr>
        <w:t>, Attorney</w:t>
      </w:r>
    </w:p>
    <w:p w14:paraId="1954CC34" w14:textId="77777777" w:rsidR="003E3FA5" w:rsidRPr="003E3FA5" w:rsidRDefault="003E3FA5" w:rsidP="003E3FA5">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Legal Division</w:t>
      </w:r>
      <w:r w:rsidRPr="003E3FA5">
        <w:rPr>
          <w:rFonts w:ascii="Times New Roman" w:eastAsia="Times New Roman" w:hAnsi="Times New Roman" w:cs="Times New Roman"/>
          <w:sz w:val="24"/>
          <w:szCs w:val="24"/>
        </w:rPr>
        <w:tab/>
      </w:r>
    </w:p>
    <w:p w14:paraId="652A9EDC" w14:textId="77777777" w:rsidR="003E3FA5" w:rsidRPr="003E3FA5" w:rsidRDefault="003E3FA5" w:rsidP="003E3FA5">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p>
    <w:p w14:paraId="2F1D5210" w14:textId="13A82A75" w:rsidR="003E3FA5" w:rsidRPr="003E3FA5" w:rsidRDefault="003E3FA5" w:rsidP="0060097B">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FROM</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t>Ethan Blanchard</w:t>
      </w:r>
      <w:r w:rsidR="00B52332">
        <w:rPr>
          <w:rFonts w:ascii="Times New Roman" w:eastAsia="Times New Roman" w:hAnsi="Times New Roman" w:cs="Times New Roman"/>
          <w:sz w:val="24"/>
          <w:szCs w:val="24"/>
        </w:rPr>
        <w:t>, Financial Analyst</w:t>
      </w:r>
    </w:p>
    <w:p w14:paraId="12E1F81F" w14:textId="77777777" w:rsidR="003E3FA5" w:rsidRPr="003E3FA5" w:rsidRDefault="003E3FA5" w:rsidP="003E3FA5">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Rate Regulation Division</w:t>
      </w:r>
    </w:p>
    <w:p w14:paraId="01F87B9B" w14:textId="77777777" w:rsidR="003E3FA5" w:rsidRPr="003E3FA5" w:rsidRDefault="003E3FA5" w:rsidP="003E3FA5">
      <w:pPr>
        <w:spacing w:after="0" w:line="240" w:lineRule="auto"/>
        <w:jc w:val="both"/>
        <w:rPr>
          <w:rFonts w:ascii="Times New Roman" w:eastAsia="Times New Roman" w:hAnsi="Times New Roman" w:cs="Times New Roman"/>
          <w:sz w:val="24"/>
          <w:szCs w:val="24"/>
        </w:rPr>
      </w:pPr>
    </w:p>
    <w:p w14:paraId="34AAA195" w14:textId="44B8AE1B" w:rsidR="003E3FA5" w:rsidRPr="003E3FA5" w:rsidRDefault="003E3FA5" w:rsidP="003E3FA5">
      <w:pPr>
        <w:spacing w:after="0" w:line="240" w:lineRule="auto"/>
        <w:ind w:left="1440" w:hanging="1440"/>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DATE:</w:t>
      </w:r>
      <w:r w:rsidRPr="003E3FA5">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ab/>
      </w:r>
      <w:r w:rsidR="00F21E89">
        <w:rPr>
          <w:rFonts w:ascii="Times New Roman" w:eastAsia="Times New Roman" w:hAnsi="Times New Roman" w:cs="Times New Roman"/>
          <w:sz w:val="24"/>
          <w:szCs w:val="24"/>
        </w:rPr>
        <w:t xml:space="preserve">May </w:t>
      </w:r>
      <w:r w:rsidR="00733FFC">
        <w:rPr>
          <w:rFonts w:ascii="Times New Roman" w:eastAsia="Times New Roman" w:hAnsi="Times New Roman" w:cs="Times New Roman"/>
          <w:sz w:val="24"/>
          <w:szCs w:val="24"/>
        </w:rPr>
        <w:t>31</w:t>
      </w:r>
      <w:r w:rsidRPr="003E3FA5">
        <w:rPr>
          <w:rFonts w:ascii="Times New Roman" w:eastAsia="Times New Roman" w:hAnsi="Times New Roman" w:cs="Times New Roman"/>
          <w:sz w:val="24"/>
          <w:szCs w:val="24"/>
        </w:rPr>
        <w:t>, 2022</w:t>
      </w:r>
    </w:p>
    <w:p w14:paraId="1105946C" w14:textId="77777777" w:rsidR="003E3FA5" w:rsidRPr="003E3FA5" w:rsidRDefault="003E3FA5" w:rsidP="003E3FA5">
      <w:pPr>
        <w:spacing w:after="0" w:line="240" w:lineRule="auto"/>
        <w:ind w:left="1440" w:hanging="1440"/>
        <w:jc w:val="both"/>
        <w:rPr>
          <w:rFonts w:ascii="Times New Roman" w:eastAsia="Times New Roman" w:hAnsi="Times New Roman" w:cs="Times New Roman"/>
          <w:sz w:val="24"/>
          <w:szCs w:val="24"/>
        </w:rPr>
      </w:pPr>
    </w:p>
    <w:p w14:paraId="1E1B9BB3" w14:textId="2018FE88" w:rsidR="003E3FA5" w:rsidRPr="003E3FA5" w:rsidRDefault="003E3FA5" w:rsidP="003E3FA5">
      <w:pPr>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b/>
          <w:bCs/>
          <w:i/>
          <w:iCs/>
          <w:sz w:val="24"/>
          <w:szCs w:val="24"/>
        </w:rPr>
      </w:pPr>
      <w:r w:rsidRPr="00147CE5">
        <w:rPr>
          <w:rFonts w:ascii="Times New Roman" w:eastAsia="Times New Roman" w:hAnsi="Times New Roman" w:cs="Times New Roman"/>
          <w:b/>
          <w:sz w:val="24"/>
          <w:szCs w:val="24"/>
        </w:rPr>
        <w:t>RE</w:t>
      </w:r>
      <w:r w:rsidRPr="00147CE5">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ab/>
      </w:r>
      <w:bookmarkStart w:id="0" w:name="_Hlk78868904"/>
      <w:r w:rsidRPr="00147CE5">
        <w:rPr>
          <w:rFonts w:ascii="Times New Roman" w:eastAsia="Times New Roman" w:hAnsi="Times New Roman" w:cs="Times New Roman"/>
          <w:bCs/>
          <w:sz w:val="24"/>
          <w:szCs w:val="24"/>
        </w:rPr>
        <w:t xml:space="preserve">Docket No. </w:t>
      </w:r>
      <w:r w:rsidR="0013261C">
        <w:rPr>
          <w:rFonts w:ascii="Times New Roman" w:eastAsia="Times New Roman" w:hAnsi="Times New Roman" w:cs="Times New Roman"/>
          <w:bCs/>
          <w:iCs/>
          <w:sz w:val="24"/>
          <w:szCs w:val="24"/>
        </w:rPr>
        <w:t>53472</w:t>
      </w:r>
      <w:r w:rsidRPr="00147CE5">
        <w:rPr>
          <w:rFonts w:ascii="Times New Roman" w:eastAsia="Times New Roman" w:hAnsi="Times New Roman" w:cs="Times New Roman"/>
          <w:bCs/>
          <w:i/>
          <w:iCs/>
          <w:sz w:val="24"/>
          <w:szCs w:val="24"/>
        </w:rPr>
        <w:t xml:space="preserve"> – </w:t>
      </w:r>
      <w:bookmarkEnd w:id="0"/>
      <w:r w:rsidRPr="00147CE5">
        <w:rPr>
          <w:rFonts w:ascii="Times New Roman" w:eastAsia="Times New Roman" w:hAnsi="Times New Roman" w:cs="Times New Roman"/>
          <w:bCs/>
          <w:i/>
          <w:iCs/>
          <w:sz w:val="24"/>
          <w:szCs w:val="24"/>
        </w:rPr>
        <w:t xml:space="preserve">Application of </w:t>
      </w:r>
      <w:r w:rsidR="0013261C">
        <w:rPr>
          <w:rFonts w:ascii="Times New Roman" w:eastAsia="Times New Roman" w:hAnsi="Times New Roman" w:cs="Times New Roman"/>
          <w:bCs/>
          <w:i/>
          <w:iCs/>
          <w:sz w:val="24"/>
          <w:szCs w:val="24"/>
        </w:rPr>
        <w:t>Monarch Utilities I, L.P. to Amend its Certificate of Convenience and Necessity and to Decertify Portions of Johnson County Special Utility District and Mountain Peak Special Utility District in Johnson</w:t>
      </w:r>
      <w:r w:rsidR="00147CE5" w:rsidRPr="00147CE5">
        <w:rPr>
          <w:rFonts w:ascii="Times New Roman" w:eastAsia="Times New Roman" w:hAnsi="Times New Roman" w:cs="Times New Roman"/>
          <w:bCs/>
          <w:i/>
          <w:iCs/>
          <w:sz w:val="24"/>
          <w:szCs w:val="24"/>
        </w:rPr>
        <w:t xml:space="preserve"> Count</w:t>
      </w:r>
      <w:r w:rsidR="0013261C">
        <w:rPr>
          <w:rFonts w:ascii="Times New Roman" w:eastAsia="Times New Roman" w:hAnsi="Times New Roman" w:cs="Times New Roman"/>
          <w:bCs/>
          <w:i/>
          <w:iCs/>
          <w:sz w:val="24"/>
          <w:szCs w:val="24"/>
        </w:rPr>
        <w:t>y</w:t>
      </w:r>
    </w:p>
    <w:p w14:paraId="2430D8CD" w14:textId="77777777" w:rsidR="003E3FA5" w:rsidRPr="003E3FA5" w:rsidRDefault="003E3FA5" w:rsidP="003E3FA5">
      <w:pPr>
        <w:spacing w:after="0" w:line="240" w:lineRule="auto"/>
        <w:jc w:val="both"/>
        <w:rPr>
          <w:rFonts w:ascii="Times New Roman" w:eastAsia="Times New Roman" w:hAnsi="Times New Roman" w:cs="Times New Roman"/>
          <w:sz w:val="24"/>
          <w:szCs w:val="24"/>
        </w:rPr>
      </w:pPr>
    </w:p>
    <w:p w14:paraId="67AD1C89" w14:textId="01C370B7" w:rsidR="003E3FA5" w:rsidRDefault="003E3FA5" w:rsidP="003E3FA5">
      <w:pPr>
        <w:spacing w:after="120" w:line="360" w:lineRule="auto"/>
        <w:ind w:firstLine="720"/>
        <w:jc w:val="both"/>
        <w:rPr>
          <w:rFonts w:ascii="Times New Roman" w:eastAsia="Times New Roman" w:hAnsi="Times New Roman" w:cs="Times New Roman"/>
          <w:sz w:val="24"/>
          <w:szCs w:val="24"/>
        </w:rPr>
      </w:pPr>
      <w:r w:rsidRPr="00147CE5">
        <w:rPr>
          <w:rFonts w:ascii="Times New Roman" w:eastAsia="Times New Roman" w:hAnsi="Times New Roman" w:cs="Times New Roman"/>
          <w:sz w:val="24"/>
          <w:szCs w:val="24"/>
        </w:rPr>
        <w:t xml:space="preserve">On </w:t>
      </w:r>
      <w:r w:rsidR="00147CE5" w:rsidRPr="00147CE5">
        <w:rPr>
          <w:rFonts w:ascii="Times New Roman" w:eastAsia="Times New Roman" w:hAnsi="Times New Roman" w:cs="Times New Roman"/>
          <w:sz w:val="24"/>
          <w:szCs w:val="24"/>
        </w:rPr>
        <w:t>April</w:t>
      </w:r>
      <w:r w:rsidRPr="00147CE5">
        <w:rPr>
          <w:rFonts w:ascii="Times New Roman" w:eastAsia="Times New Roman" w:hAnsi="Times New Roman" w:cs="Times New Roman"/>
          <w:sz w:val="24"/>
          <w:szCs w:val="24"/>
        </w:rPr>
        <w:t xml:space="preserve"> </w:t>
      </w:r>
      <w:r w:rsidR="0013261C">
        <w:rPr>
          <w:rFonts w:ascii="Times New Roman" w:eastAsia="Times New Roman" w:hAnsi="Times New Roman" w:cs="Times New Roman"/>
          <w:sz w:val="24"/>
          <w:szCs w:val="24"/>
        </w:rPr>
        <w:t>8</w:t>
      </w:r>
      <w:r w:rsidRPr="00147CE5">
        <w:rPr>
          <w:rFonts w:ascii="Times New Roman" w:eastAsia="Times New Roman" w:hAnsi="Times New Roman" w:cs="Times New Roman"/>
          <w:sz w:val="24"/>
          <w:szCs w:val="24"/>
        </w:rPr>
        <w:t xml:space="preserve">, 2022, </w:t>
      </w:r>
      <w:r w:rsidR="00F81C5D">
        <w:rPr>
          <w:rFonts w:ascii="Times New Roman" w:eastAsia="Times New Roman" w:hAnsi="Times New Roman" w:cs="Times New Roman"/>
          <w:sz w:val="24"/>
          <w:szCs w:val="24"/>
        </w:rPr>
        <w:t>Monarch Utilities I, L.P. (Monarch)</w:t>
      </w:r>
      <w:r w:rsidRPr="00147CE5">
        <w:rPr>
          <w:rFonts w:ascii="Times New Roman" w:eastAsia="Times New Roman" w:hAnsi="Times New Roman" w:cs="Times New Roman"/>
          <w:sz w:val="24"/>
          <w:szCs w:val="24"/>
        </w:rPr>
        <w:t xml:space="preserve"> filed an application</w:t>
      </w:r>
      <w:r w:rsidR="00F81C5D">
        <w:rPr>
          <w:rFonts w:ascii="Times New Roman" w:eastAsia="Times New Roman" w:hAnsi="Times New Roman" w:cs="Times New Roman"/>
          <w:sz w:val="24"/>
          <w:szCs w:val="24"/>
        </w:rPr>
        <w:t xml:space="preserve"> to amend its </w:t>
      </w:r>
      <w:r w:rsidR="006F5466">
        <w:rPr>
          <w:rFonts w:ascii="Times New Roman" w:eastAsia="Times New Roman" w:hAnsi="Times New Roman" w:cs="Times New Roman"/>
          <w:sz w:val="24"/>
          <w:szCs w:val="24"/>
        </w:rPr>
        <w:t xml:space="preserve">water </w:t>
      </w:r>
      <w:r w:rsidR="00F81C5D">
        <w:rPr>
          <w:rFonts w:ascii="Times New Roman" w:eastAsia="Times New Roman" w:hAnsi="Times New Roman" w:cs="Times New Roman"/>
          <w:sz w:val="24"/>
          <w:szCs w:val="24"/>
        </w:rPr>
        <w:t xml:space="preserve">certificate of convenience and necessity (CCN) number </w:t>
      </w:r>
      <w:r w:rsidR="006F5466">
        <w:rPr>
          <w:rFonts w:ascii="Times New Roman" w:eastAsia="Times New Roman" w:hAnsi="Times New Roman" w:cs="Times New Roman"/>
          <w:sz w:val="24"/>
          <w:szCs w:val="24"/>
        </w:rPr>
        <w:t>12983</w:t>
      </w:r>
      <w:r w:rsidR="00F81C5D">
        <w:rPr>
          <w:rFonts w:ascii="Times New Roman" w:eastAsia="Times New Roman" w:hAnsi="Times New Roman" w:cs="Times New Roman"/>
          <w:sz w:val="24"/>
          <w:szCs w:val="24"/>
        </w:rPr>
        <w:t xml:space="preserve"> in Brazoria County under Subchapter </w:t>
      </w:r>
      <w:r w:rsidR="00F81C5D" w:rsidRPr="00376E5F">
        <w:rPr>
          <w:rFonts w:ascii="Times New Roman" w:eastAsia="Times New Roman" w:hAnsi="Times New Roman" w:cs="Times New Roman"/>
          <w:sz w:val="24"/>
          <w:szCs w:val="24"/>
        </w:rPr>
        <w:t>G of Texas Water Code Chapter 13.</w:t>
      </w:r>
      <w:r w:rsidR="002149AE" w:rsidRPr="00376E5F">
        <w:rPr>
          <w:rFonts w:ascii="Times New Roman" w:eastAsia="Times New Roman" w:hAnsi="Times New Roman" w:cs="Times New Roman"/>
          <w:sz w:val="24"/>
          <w:szCs w:val="24"/>
        </w:rPr>
        <w:t xml:space="preserve"> </w:t>
      </w:r>
    </w:p>
    <w:p w14:paraId="41C7DCC5" w14:textId="77EA3BD2" w:rsidR="00376E5F" w:rsidRDefault="00376E5F" w:rsidP="003E3FA5">
      <w:pPr>
        <w:spacing w:after="120" w:line="360" w:lineRule="auto"/>
        <w:ind w:firstLine="720"/>
        <w:jc w:val="both"/>
        <w:rPr>
          <w:rFonts w:ascii="Times New Roman" w:eastAsia="Times New Roman" w:hAnsi="Times New Roman" w:cs="Times New Roman"/>
          <w:sz w:val="24"/>
          <w:szCs w:val="24"/>
        </w:rPr>
      </w:pPr>
      <w:r w:rsidRPr="00376E5F">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16 Texas Administrative Code (TAC) § 24.11.  </w:t>
      </w:r>
      <w:r w:rsidR="00BA5465">
        <w:rPr>
          <w:rFonts w:ascii="Times New Roman" w:eastAsia="Times New Roman" w:hAnsi="Times New Roman" w:cs="Times New Roman"/>
          <w:sz w:val="24"/>
          <w:szCs w:val="24"/>
        </w:rPr>
        <w:t xml:space="preserve">Monarch </w:t>
      </w:r>
      <w:r w:rsidRPr="00376E5F">
        <w:rPr>
          <w:rFonts w:ascii="Times New Roman" w:eastAsia="Times New Roman" w:hAnsi="Times New Roman" w:cs="Times New Roman"/>
          <w:sz w:val="24"/>
          <w:szCs w:val="24"/>
        </w:rPr>
        <w:t xml:space="preserve">must demonstrate that it meets one of the five leverage tests under 16 TAC § 24.11(e)(2) as well as the operations test under 16 TAC § 24.11(e)(3).  </w:t>
      </w:r>
    </w:p>
    <w:p w14:paraId="161014E3" w14:textId="0BFC542D" w:rsidR="00376E5F" w:rsidRDefault="00376E5F" w:rsidP="00376E5F">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i/>
          <w:iCs/>
          <w:sz w:val="24"/>
          <w:szCs w:val="24"/>
        </w:rPr>
        <w:t>Leverage Test</w:t>
      </w:r>
    </w:p>
    <w:p w14:paraId="63473F0F" w14:textId="7738AF39" w:rsidR="00133D92" w:rsidRDefault="00133D92" w:rsidP="00133D92">
      <w:pPr>
        <w:spacing w:after="12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133D92">
        <w:rPr>
          <w:rFonts w:ascii="Times New Roman" w:eastAsia="Times New Roman" w:hAnsi="Times New Roman" w:cs="Times New Roman"/>
          <w:sz w:val="24"/>
          <w:szCs w:val="24"/>
        </w:rPr>
        <w:t xml:space="preserve">My analysis is based on financial statements ending </w:t>
      </w:r>
      <w:r w:rsidR="00BA5465">
        <w:rPr>
          <w:rFonts w:ascii="Times New Roman" w:eastAsia="Times New Roman" w:hAnsi="Times New Roman" w:cs="Times New Roman"/>
          <w:sz w:val="24"/>
          <w:szCs w:val="24"/>
        </w:rPr>
        <w:t>December 31, 2020</w:t>
      </w:r>
      <w:r w:rsidRPr="00133D92">
        <w:rPr>
          <w:rFonts w:ascii="Times New Roman" w:eastAsia="Times New Roman" w:hAnsi="Times New Roman" w:cs="Times New Roman"/>
          <w:sz w:val="24"/>
          <w:szCs w:val="24"/>
        </w:rPr>
        <w:t xml:space="preserve">.  These financial statements contain an unqualified auditor’s opinion from </w:t>
      </w:r>
      <w:r w:rsidR="00BA5465">
        <w:rPr>
          <w:rFonts w:ascii="Times New Roman" w:eastAsia="Times New Roman" w:hAnsi="Times New Roman" w:cs="Times New Roman"/>
          <w:sz w:val="24"/>
          <w:szCs w:val="24"/>
        </w:rPr>
        <w:t>PricewaterhouseCoopers LLP</w:t>
      </w:r>
      <w:r w:rsidRPr="00133D92">
        <w:rPr>
          <w:rFonts w:ascii="Times New Roman" w:eastAsia="Times New Roman" w:hAnsi="Times New Roman" w:cs="Times New Roman"/>
          <w:sz w:val="24"/>
          <w:szCs w:val="24"/>
        </w:rPr>
        <w:t xml:space="preserve"> stating that the financial statements present fairly, in all material respects, the financial position of </w:t>
      </w:r>
      <w:r w:rsidR="0063274E">
        <w:rPr>
          <w:rFonts w:ascii="Times New Roman" w:eastAsia="Times New Roman" w:hAnsi="Times New Roman" w:cs="Times New Roman"/>
          <w:sz w:val="24"/>
          <w:szCs w:val="24"/>
        </w:rPr>
        <w:t>Monarch</w:t>
      </w:r>
      <w:r w:rsidRPr="00133D92">
        <w:rPr>
          <w:rFonts w:ascii="Times New Roman" w:eastAsia="Times New Roman" w:hAnsi="Times New Roman" w:cs="Times New Roman"/>
          <w:sz w:val="24"/>
          <w:szCs w:val="24"/>
        </w:rPr>
        <w:t xml:space="preserve"> as of </w:t>
      </w:r>
      <w:r w:rsidR="00BA5465">
        <w:rPr>
          <w:rFonts w:ascii="Times New Roman" w:eastAsia="Times New Roman" w:hAnsi="Times New Roman" w:cs="Times New Roman"/>
          <w:sz w:val="24"/>
          <w:szCs w:val="24"/>
        </w:rPr>
        <w:t>December 31, 2020.</w:t>
      </w:r>
    </w:p>
    <w:p w14:paraId="20B5D911" w14:textId="133BE06D" w:rsidR="00133D92" w:rsidRPr="00133D92" w:rsidRDefault="00133D92" w:rsidP="00133D92">
      <w:pPr>
        <w:spacing w:after="12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133D92">
        <w:rPr>
          <w:rFonts w:ascii="Times New Roman" w:eastAsia="Times New Roman" w:hAnsi="Times New Roman" w:cs="Times New Roman"/>
          <w:sz w:val="24"/>
          <w:szCs w:val="24"/>
        </w:rPr>
        <w:t xml:space="preserve">Based upon my review of </w:t>
      </w:r>
      <w:r w:rsidR="0063274E">
        <w:rPr>
          <w:rFonts w:ascii="Times New Roman" w:eastAsia="Times New Roman" w:hAnsi="Times New Roman" w:cs="Times New Roman"/>
          <w:sz w:val="24"/>
          <w:szCs w:val="24"/>
        </w:rPr>
        <w:t>Monarch</w:t>
      </w:r>
      <w:r w:rsidRPr="00133D92">
        <w:rPr>
          <w:rFonts w:ascii="Times New Roman" w:eastAsia="Times New Roman" w:hAnsi="Times New Roman" w:cs="Times New Roman"/>
          <w:sz w:val="24"/>
          <w:szCs w:val="24"/>
        </w:rPr>
        <w:t xml:space="preserve">’s financial statements, I calculate debt service equal </w:t>
      </w:r>
      <w:r w:rsidRPr="00BA5465">
        <w:rPr>
          <w:rFonts w:ascii="Times New Roman" w:eastAsia="Times New Roman" w:hAnsi="Times New Roman" w:cs="Times New Roman"/>
          <w:sz w:val="24"/>
          <w:szCs w:val="24"/>
        </w:rPr>
        <w:t xml:space="preserve">to </w:t>
      </w:r>
      <w:r w:rsidR="00CC70A5">
        <w:rPr>
          <w:rFonts w:ascii="Times New Roman" w:eastAsia="Times New Roman" w:hAnsi="Times New Roman" w:cs="Times New Roman"/>
          <w:sz w:val="24"/>
          <w:szCs w:val="24"/>
        </w:rPr>
        <w:t>9.38</w:t>
      </w:r>
      <w:r w:rsidR="00BA5465" w:rsidRPr="00BA5465">
        <w:rPr>
          <w:rFonts w:ascii="Times New Roman" w:eastAsia="Times New Roman" w:hAnsi="Times New Roman" w:cs="Times New Roman"/>
          <w:sz w:val="24"/>
          <w:szCs w:val="24"/>
        </w:rPr>
        <w:t>.</w:t>
      </w:r>
      <w:r w:rsidRPr="00133D92">
        <w:rPr>
          <w:rFonts w:ascii="Times New Roman" w:eastAsia="Times New Roman" w:hAnsi="Times New Roman" w:cs="Times New Roman"/>
          <w:sz w:val="24"/>
          <w:szCs w:val="24"/>
        </w:rPr>
        <w:t xml:space="preserve"> The debt service coverage ratio is net operating income (before depreciation and non-</w:t>
      </w:r>
      <w:r w:rsidRPr="00133D92">
        <w:rPr>
          <w:rFonts w:ascii="Times New Roman" w:eastAsia="Times New Roman" w:hAnsi="Times New Roman" w:cs="Times New Roman"/>
          <w:sz w:val="24"/>
          <w:szCs w:val="24"/>
        </w:rPr>
        <w:lastRenderedPageBreak/>
        <w:t xml:space="preserve">cash expenses) of </w:t>
      </w:r>
      <w:r w:rsidRPr="008D2981">
        <w:rPr>
          <w:rFonts w:ascii="Times New Roman" w:eastAsia="Times New Roman" w:hAnsi="Times New Roman" w:cs="Times New Roman"/>
          <w:sz w:val="24"/>
          <w:szCs w:val="24"/>
        </w:rPr>
        <w:t>$</w:t>
      </w:r>
      <w:r w:rsidR="00CC70A5">
        <w:rPr>
          <w:rFonts w:ascii="Times New Roman" w:eastAsia="Times New Roman" w:hAnsi="Times New Roman" w:cs="Times New Roman"/>
          <w:sz w:val="24"/>
          <w:szCs w:val="24"/>
        </w:rPr>
        <w:t>9</w:t>
      </w:r>
      <w:r w:rsidR="008D2981" w:rsidRPr="008D2981">
        <w:rPr>
          <w:rFonts w:ascii="Times New Roman" w:eastAsia="Times New Roman" w:hAnsi="Times New Roman" w:cs="Times New Roman"/>
          <w:sz w:val="24"/>
          <w:szCs w:val="24"/>
        </w:rPr>
        <w:t>,</w:t>
      </w:r>
      <w:r w:rsidR="00CC70A5">
        <w:rPr>
          <w:rFonts w:ascii="Times New Roman" w:eastAsia="Times New Roman" w:hAnsi="Times New Roman" w:cs="Times New Roman"/>
          <w:sz w:val="24"/>
          <w:szCs w:val="24"/>
        </w:rPr>
        <w:t>7</w:t>
      </w:r>
      <w:r w:rsidR="008D2981" w:rsidRPr="008D2981">
        <w:rPr>
          <w:rFonts w:ascii="Times New Roman" w:eastAsia="Times New Roman" w:hAnsi="Times New Roman" w:cs="Times New Roman"/>
          <w:sz w:val="24"/>
          <w:szCs w:val="24"/>
        </w:rPr>
        <w:t>29,000</w:t>
      </w:r>
      <w:r w:rsidRPr="00133D92">
        <w:rPr>
          <w:rFonts w:ascii="Times New Roman" w:eastAsia="Times New Roman" w:hAnsi="Times New Roman" w:cs="Times New Roman"/>
          <w:b/>
          <w:bCs/>
          <w:sz w:val="24"/>
          <w:szCs w:val="24"/>
        </w:rPr>
        <w:t xml:space="preserve"> </w:t>
      </w:r>
      <w:r w:rsidRPr="00133D92">
        <w:rPr>
          <w:rFonts w:ascii="Times New Roman" w:eastAsia="Times New Roman" w:hAnsi="Times New Roman" w:cs="Times New Roman"/>
          <w:sz w:val="24"/>
          <w:szCs w:val="24"/>
        </w:rPr>
        <w:t xml:space="preserve">divided by annual debt service </w:t>
      </w:r>
      <w:r w:rsidRPr="008D2981">
        <w:rPr>
          <w:rFonts w:ascii="Times New Roman" w:eastAsia="Times New Roman" w:hAnsi="Times New Roman" w:cs="Times New Roman"/>
          <w:sz w:val="24"/>
          <w:szCs w:val="24"/>
        </w:rPr>
        <w:t>of $</w:t>
      </w:r>
      <w:r w:rsidR="008D2981" w:rsidRPr="008D2981">
        <w:rPr>
          <w:rFonts w:ascii="Times New Roman" w:eastAsia="Times New Roman" w:hAnsi="Times New Roman" w:cs="Times New Roman"/>
          <w:sz w:val="24"/>
          <w:szCs w:val="24"/>
        </w:rPr>
        <w:t>1,037,000</w:t>
      </w:r>
      <w:r w:rsidRPr="008D2981">
        <w:rPr>
          <w:rFonts w:ascii="Times New Roman" w:eastAsia="Times New Roman" w:hAnsi="Times New Roman" w:cs="Times New Roman"/>
          <w:sz w:val="24"/>
          <w:szCs w:val="24"/>
        </w:rPr>
        <w:t>.</w:t>
      </w:r>
      <w:r w:rsidR="003829B2">
        <w:rPr>
          <w:rStyle w:val="FootnoteReference"/>
          <w:rFonts w:ascii="Times New Roman" w:eastAsia="Times New Roman" w:hAnsi="Times New Roman" w:cs="Times New Roman"/>
          <w:sz w:val="24"/>
          <w:szCs w:val="24"/>
        </w:rPr>
        <w:footnoteReference w:id="1"/>
      </w:r>
      <w:r w:rsidRPr="00133D92">
        <w:rPr>
          <w:rFonts w:ascii="Times New Roman" w:eastAsia="Times New Roman" w:hAnsi="Times New Roman" w:cs="Times New Roman"/>
          <w:b/>
          <w:bCs/>
          <w:sz w:val="24"/>
          <w:szCs w:val="24"/>
        </w:rPr>
        <w:t xml:space="preserve"> </w:t>
      </w:r>
      <w:r w:rsidRPr="00133D92">
        <w:rPr>
          <w:rFonts w:ascii="Times New Roman" w:eastAsia="Times New Roman" w:hAnsi="Times New Roman" w:cs="Times New Roman"/>
          <w:sz w:val="24"/>
          <w:szCs w:val="24"/>
        </w:rPr>
        <w:t xml:space="preserve">Because the ratio is greater than 1.25, I recommend a finding that </w:t>
      </w:r>
      <w:r w:rsidR="0063274E">
        <w:rPr>
          <w:rFonts w:ascii="Times New Roman" w:eastAsia="Times New Roman" w:hAnsi="Times New Roman" w:cs="Times New Roman"/>
          <w:sz w:val="24"/>
          <w:szCs w:val="24"/>
        </w:rPr>
        <w:t>Monarch</w:t>
      </w:r>
      <w:r w:rsidRPr="00133D92">
        <w:rPr>
          <w:rFonts w:ascii="Times New Roman" w:eastAsia="Times New Roman" w:hAnsi="Times New Roman" w:cs="Times New Roman"/>
          <w:sz w:val="24"/>
          <w:szCs w:val="24"/>
        </w:rPr>
        <w:t xml:space="preserve"> meets the leverage test specified in 16 TAC </w:t>
      </w:r>
      <w:bookmarkStart w:id="1" w:name="_Hlk59192949"/>
      <w:r w:rsidRPr="00133D92">
        <w:rPr>
          <w:rFonts w:ascii="Times New Roman" w:eastAsia="Times New Roman" w:hAnsi="Times New Roman" w:cs="Times New Roman"/>
          <w:sz w:val="24"/>
          <w:szCs w:val="24"/>
        </w:rPr>
        <w:t>§ 24.11(e)(2)(B).</w:t>
      </w:r>
      <w:bookmarkEnd w:id="1"/>
    </w:p>
    <w:p w14:paraId="62695412" w14:textId="3F4B02E2" w:rsidR="00376E5F" w:rsidRDefault="00376E5F" w:rsidP="00376E5F">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i/>
          <w:iCs/>
          <w:sz w:val="24"/>
          <w:szCs w:val="24"/>
        </w:rPr>
        <w:t>Operations Test</w:t>
      </w:r>
    </w:p>
    <w:p w14:paraId="40337E61" w14:textId="77777777" w:rsidR="00133D92" w:rsidRPr="00133D92" w:rsidRDefault="00133D92" w:rsidP="00133D92">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133D92">
        <w:rPr>
          <w:rFonts w:ascii="Times New Roman" w:eastAsia="Times New Roman" w:hAnsi="Times New Roman" w:cs="Times New Roman"/>
          <w:sz w:val="24"/>
          <w:szCs w:val="24"/>
        </w:rPr>
        <w:t xml:space="preserve">An owner or operator must demonstrate sufficient available cash to cover projected cash shortages for operations and maintenance expense during the first five years of operations, as required by 16 TAC § 24.11(e)(3). </w:t>
      </w:r>
    </w:p>
    <w:p w14:paraId="264A93F3" w14:textId="7005E8C3" w:rsidR="00376E5F" w:rsidRDefault="00133D92" w:rsidP="00376E5F">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Monarch’s total capital expenditure plan sums to a cost of $1,600,000</w:t>
      </w:r>
      <w:r>
        <w:rPr>
          <w:rStyle w:val="FootnoteReference"/>
          <w:rFonts w:ascii="Times New Roman" w:eastAsia="Times New Roman" w:hAnsi="Times New Roman" w:cs="Times New Roman"/>
          <w:sz w:val="24"/>
          <w:szCs w:val="24"/>
        </w:rPr>
        <w:footnoteReference w:id="2"/>
      </w:r>
      <w:r w:rsidR="004412BD">
        <w:rPr>
          <w:rFonts w:ascii="Times New Roman" w:eastAsia="Times New Roman" w:hAnsi="Times New Roman" w:cs="Times New Roman"/>
          <w:sz w:val="24"/>
          <w:szCs w:val="24"/>
        </w:rPr>
        <w:t>. Monarch reports cash and cash flow from operations of $7,000,000</w:t>
      </w:r>
      <w:r w:rsidR="00BA5465">
        <w:rPr>
          <w:rStyle w:val="FootnoteReference"/>
          <w:rFonts w:ascii="Times New Roman" w:eastAsia="Times New Roman" w:hAnsi="Times New Roman" w:cs="Times New Roman"/>
          <w:sz w:val="24"/>
          <w:szCs w:val="24"/>
        </w:rPr>
        <w:footnoteReference w:id="3"/>
      </w:r>
      <w:r w:rsidR="004412BD">
        <w:rPr>
          <w:rFonts w:ascii="Times New Roman" w:eastAsia="Times New Roman" w:hAnsi="Times New Roman" w:cs="Times New Roman"/>
          <w:sz w:val="24"/>
          <w:szCs w:val="24"/>
        </w:rPr>
        <w:t xml:space="preserve"> which is sufficient to cover any projected operations and maintenance shortages. Therefore, I recommend a finding that Monarch meets the operations test specified in </w:t>
      </w:r>
      <w:r w:rsidR="004412BD" w:rsidRPr="004412BD">
        <w:rPr>
          <w:rFonts w:ascii="Times New Roman" w:eastAsia="Times New Roman" w:hAnsi="Times New Roman" w:cs="Times New Roman"/>
          <w:sz w:val="24"/>
          <w:szCs w:val="24"/>
        </w:rPr>
        <w:t>16 TAC § 24.11(e)(3)</w:t>
      </w:r>
      <w:r w:rsidR="004412BD">
        <w:rPr>
          <w:rFonts w:ascii="Times New Roman" w:eastAsia="Times New Roman" w:hAnsi="Times New Roman" w:cs="Times New Roman"/>
          <w:sz w:val="24"/>
          <w:szCs w:val="24"/>
        </w:rPr>
        <w:t>.</w:t>
      </w:r>
    </w:p>
    <w:p w14:paraId="1640854D" w14:textId="2C5BE6AC" w:rsidR="00376E5F" w:rsidRDefault="00376E5F" w:rsidP="00376E5F">
      <w:pPr>
        <w:spacing w:after="120" w:line="360"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Recommendation</w:t>
      </w:r>
    </w:p>
    <w:p w14:paraId="5CAD1645" w14:textId="303BE627" w:rsidR="00376E5F" w:rsidRPr="00376E5F" w:rsidRDefault="00376E5F" w:rsidP="00376E5F">
      <w:pPr>
        <w:spacing w:after="12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Because Monarch meets the financial tests, I do not recommend that the Commission require additional financial assurance. </w:t>
      </w:r>
    </w:p>
    <w:p w14:paraId="69C4912B" w14:textId="3D26ED5E" w:rsidR="00372923" w:rsidRPr="00372923" w:rsidRDefault="00133D92" w:rsidP="00372923">
      <w:pPr>
        <w:spacing w:after="12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Consequently, </w:t>
      </w:r>
      <w:r w:rsidR="00372923" w:rsidRPr="00372923">
        <w:rPr>
          <w:rFonts w:ascii="Times New Roman" w:hAnsi="Times New Roman" w:cs="Times New Roman"/>
          <w:sz w:val="24"/>
          <w:szCs w:val="24"/>
        </w:rPr>
        <w:t xml:space="preserve">I recommend a finding that </w:t>
      </w:r>
      <w:r w:rsidR="0063274E">
        <w:rPr>
          <w:rFonts w:ascii="Times New Roman" w:hAnsi="Times New Roman" w:cs="Times New Roman"/>
          <w:sz w:val="24"/>
          <w:szCs w:val="24"/>
        </w:rPr>
        <w:t>Monarch</w:t>
      </w:r>
      <w:r w:rsidR="00372923" w:rsidRPr="00372923">
        <w:rPr>
          <w:rFonts w:ascii="Times New Roman" w:hAnsi="Times New Roman" w:cs="Times New Roman"/>
          <w:sz w:val="24"/>
          <w:szCs w:val="24"/>
        </w:rPr>
        <w:t xml:space="preserve"> demonstrates the financial and managerial capability needed to provide continuous and adequate service to the area subject to this application.  My conclusions are based on information provided by </w:t>
      </w:r>
      <w:r w:rsidR="0063274E">
        <w:rPr>
          <w:rFonts w:ascii="Times New Roman" w:hAnsi="Times New Roman" w:cs="Times New Roman"/>
          <w:sz w:val="24"/>
          <w:szCs w:val="24"/>
        </w:rPr>
        <w:t>Monarch</w:t>
      </w:r>
      <w:r w:rsidR="00372923" w:rsidRPr="00372923">
        <w:rPr>
          <w:rFonts w:ascii="Times New Roman" w:hAnsi="Times New Roman" w:cs="Times New Roman"/>
          <w:sz w:val="24"/>
          <w:szCs w:val="24"/>
        </w:rPr>
        <w:t xml:space="preserve"> before the date of this memorandum and may not reflect any changes in </w:t>
      </w:r>
      <w:r w:rsidR="0063274E">
        <w:rPr>
          <w:rFonts w:ascii="Times New Roman" w:hAnsi="Times New Roman" w:cs="Times New Roman"/>
          <w:sz w:val="24"/>
          <w:szCs w:val="24"/>
        </w:rPr>
        <w:t>Monarch</w:t>
      </w:r>
      <w:r w:rsidR="00372923" w:rsidRPr="00372923">
        <w:rPr>
          <w:rFonts w:ascii="Times New Roman" w:hAnsi="Times New Roman" w:cs="Times New Roman"/>
          <w:sz w:val="24"/>
          <w:szCs w:val="24"/>
        </w:rPr>
        <w:t xml:space="preserve">’s status after this review. </w:t>
      </w:r>
    </w:p>
    <w:p w14:paraId="7ABE52B6" w14:textId="1ADD666D" w:rsidR="00C74679" w:rsidRPr="00376E5F" w:rsidRDefault="00C74679" w:rsidP="003E3FA5">
      <w:pPr>
        <w:spacing w:after="120" w:line="360" w:lineRule="auto"/>
        <w:ind w:firstLine="720"/>
        <w:jc w:val="both"/>
        <w:rPr>
          <w:rFonts w:ascii="Times New Roman" w:hAnsi="Times New Roman" w:cs="Times New Roman"/>
          <w:sz w:val="24"/>
          <w:szCs w:val="24"/>
        </w:rPr>
      </w:pPr>
    </w:p>
    <w:sectPr w:rsidR="00C74679" w:rsidRPr="00376E5F" w:rsidSect="00DC0A57">
      <w:headerReference w:type="default" r:id="rId7"/>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611DC" w14:textId="77777777" w:rsidR="000F3800" w:rsidRDefault="000F3800" w:rsidP="003E3FA5">
      <w:pPr>
        <w:spacing w:after="0" w:line="240" w:lineRule="auto"/>
      </w:pPr>
      <w:r>
        <w:separator/>
      </w:r>
    </w:p>
  </w:endnote>
  <w:endnote w:type="continuationSeparator" w:id="0">
    <w:p w14:paraId="030BADBE" w14:textId="77777777" w:rsidR="000F3800" w:rsidRDefault="000F3800" w:rsidP="003E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C71A"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BFE2A5" w14:textId="77777777" w:rsidR="00195A79" w:rsidRDefault="00647EE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B507"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46FBBC5" w14:textId="77777777" w:rsidR="00195A79" w:rsidRDefault="00647EE3">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574EC" w14:textId="77777777" w:rsidR="000F3800" w:rsidRDefault="000F3800" w:rsidP="003E3FA5">
      <w:pPr>
        <w:spacing w:after="0" w:line="240" w:lineRule="auto"/>
      </w:pPr>
      <w:r>
        <w:separator/>
      </w:r>
    </w:p>
  </w:footnote>
  <w:footnote w:type="continuationSeparator" w:id="0">
    <w:p w14:paraId="1E6BEF52" w14:textId="77777777" w:rsidR="000F3800" w:rsidRDefault="000F3800" w:rsidP="003E3FA5">
      <w:pPr>
        <w:spacing w:after="0" w:line="240" w:lineRule="auto"/>
      </w:pPr>
      <w:r>
        <w:continuationSeparator/>
      </w:r>
    </w:p>
  </w:footnote>
  <w:footnote w:id="1">
    <w:p w14:paraId="42827A33" w14:textId="40AD4F86" w:rsidR="003829B2" w:rsidRDefault="003829B2" w:rsidP="003829B2">
      <w:pPr>
        <w:pStyle w:val="FootnoteText"/>
        <w:ind w:firstLine="720"/>
      </w:pPr>
      <w:r>
        <w:rPr>
          <w:rStyle w:val="FootnoteReference"/>
        </w:rPr>
        <w:footnoteRef/>
      </w:r>
      <w:r>
        <w:t xml:space="preserve">  </w:t>
      </w:r>
      <w:r w:rsidR="00EE489A">
        <w:t>Application, Confidential Attachments at bates 10 (Apr. 8, 2022).</w:t>
      </w:r>
    </w:p>
  </w:footnote>
  <w:footnote w:id="2">
    <w:p w14:paraId="403A214D" w14:textId="433E54F3" w:rsidR="00133D92" w:rsidRPr="00EE489A" w:rsidRDefault="00133D92" w:rsidP="003829B2">
      <w:pPr>
        <w:pStyle w:val="FootnoteText"/>
        <w:ind w:firstLine="720"/>
      </w:pPr>
      <w:r>
        <w:rPr>
          <w:rStyle w:val="FootnoteReference"/>
        </w:rPr>
        <w:footnoteRef/>
      </w:r>
      <w:r>
        <w:t xml:space="preserve"> </w:t>
      </w:r>
      <w:r w:rsidR="003829B2">
        <w:t xml:space="preserve"> </w:t>
      </w:r>
      <w:r w:rsidR="00EE489A">
        <w:rPr>
          <w:i/>
          <w:iCs/>
        </w:rPr>
        <w:t>Id</w:t>
      </w:r>
      <w:r w:rsidR="00EE489A">
        <w:t>., at bates 2.</w:t>
      </w:r>
    </w:p>
  </w:footnote>
  <w:footnote w:id="3">
    <w:p w14:paraId="2DBF7C40" w14:textId="704B5F43" w:rsidR="00BA5465" w:rsidRPr="00EE489A" w:rsidRDefault="00BA5465" w:rsidP="003829B2">
      <w:pPr>
        <w:pStyle w:val="FootnoteText"/>
        <w:ind w:firstLine="720"/>
      </w:pPr>
      <w:r>
        <w:rPr>
          <w:rStyle w:val="FootnoteReference"/>
        </w:rPr>
        <w:footnoteRef/>
      </w:r>
      <w:r w:rsidR="00EE489A">
        <w:t xml:space="preserve">  </w:t>
      </w:r>
      <w:r w:rsidR="00EE489A">
        <w:rPr>
          <w:i/>
          <w:iCs/>
        </w:rPr>
        <w:t>Id</w:t>
      </w:r>
      <w:r w:rsidR="00EE489A">
        <w:t>., at bates 10.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52AD" w14:textId="01442571" w:rsidR="00195A79" w:rsidRPr="002E015F" w:rsidRDefault="00363697" w:rsidP="0099083B">
    <w:pPr>
      <w:pStyle w:val="Header"/>
      <w:spacing w:after="240"/>
      <w:jc w:val="right"/>
      <w:rPr>
        <w:b/>
      </w:rPr>
    </w:pPr>
    <w:r w:rsidRPr="002E015F">
      <w:rPr>
        <w:b/>
      </w:rPr>
      <w:t xml:space="preserve">Docket No. </w:t>
    </w:r>
    <w:r w:rsidR="00626658">
      <w:rPr>
        <w:b/>
      </w:rPr>
      <w:t>53472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A2"/>
    <w:rsid w:val="000F3800"/>
    <w:rsid w:val="0013261C"/>
    <w:rsid w:val="00133D92"/>
    <w:rsid w:val="00147CE5"/>
    <w:rsid w:val="002149AE"/>
    <w:rsid w:val="00256BA8"/>
    <w:rsid w:val="00284379"/>
    <w:rsid w:val="00363697"/>
    <w:rsid w:val="00372923"/>
    <w:rsid w:val="00376E5F"/>
    <w:rsid w:val="003829B2"/>
    <w:rsid w:val="003C1F2C"/>
    <w:rsid w:val="003E3FA5"/>
    <w:rsid w:val="004365F2"/>
    <w:rsid w:val="004412BD"/>
    <w:rsid w:val="00512787"/>
    <w:rsid w:val="005C50C8"/>
    <w:rsid w:val="005E707D"/>
    <w:rsid w:val="0060097B"/>
    <w:rsid w:val="00626658"/>
    <w:rsid w:val="0063274E"/>
    <w:rsid w:val="00635BC4"/>
    <w:rsid w:val="006F5466"/>
    <w:rsid w:val="00733FFC"/>
    <w:rsid w:val="007700A2"/>
    <w:rsid w:val="007D0A6F"/>
    <w:rsid w:val="00891293"/>
    <w:rsid w:val="008D2981"/>
    <w:rsid w:val="00A929CD"/>
    <w:rsid w:val="00AE4987"/>
    <w:rsid w:val="00B52332"/>
    <w:rsid w:val="00B86C37"/>
    <w:rsid w:val="00BA5465"/>
    <w:rsid w:val="00BC5BA2"/>
    <w:rsid w:val="00C0242A"/>
    <w:rsid w:val="00C16318"/>
    <w:rsid w:val="00C74679"/>
    <w:rsid w:val="00CC70A5"/>
    <w:rsid w:val="00D52DC0"/>
    <w:rsid w:val="00D73FFD"/>
    <w:rsid w:val="00D9105A"/>
    <w:rsid w:val="00EE489A"/>
    <w:rsid w:val="00EF2CA2"/>
    <w:rsid w:val="00F21E89"/>
    <w:rsid w:val="00F65A84"/>
    <w:rsid w:val="00F81C5D"/>
    <w:rsid w:val="00FE7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772DC497"/>
  <w15:chartTrackingRefBased/>
  <w15:docId w15:val="{9647FDEA-3FC7-4FAF-A626-C099DE489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FA5"/>
  </w:style>
  <w:style w:type="paragraph" w:styleId="Footer">
    <w:name w:val="footer"/>
    <w:basedOn w:val="Normal"/>
    <w:link w:val="FooterChar"/>
    <w:uiPriority w:val="99"/>
    <w:unhideWhenUsed/>
    <w:rsid w:val="003E3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FA5"/>
  </w:style>
  <w:style w:type="paragraph" w:styleId="FootnoteText">
    <w:name w:val="footnote text"/>
    <w:basedOn w:val="Normal"/>
    <w:link w:val="FootnoteTextChar"/>
    <w:semiHidden/>
    <w:rsid w:val="003E3FA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E3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3E3FA5"/>
    <w:rPr>
      <w:vertAlign w:val="superscript"/>
    </w:rPr>
  </w:style>
  <w:style w:type="character" w:styleId="PageNumber">
    <w:name w:val="page number"/>
    <w:basedOn w:val="DefaultParagraphFont"/>
    <w:rsid w:val="003E3FA5"/>
  </w:style>
  <w:style w:type="paragraph" w:styleId="BodyText">
    <w:name w:val="Body Text"/>
    <w:basedOn w:val="Normal"/>
    <w:link w:val="BodyTextChar"/>
    <w:uiPriority w:val="99"/>
    <w:semiHidden/>
    <w:unhideWhenUsed/>
    <w:rsid w:val="00133D92"/>
    <w:pPr>
      <w:spacing w:after="120"/>
    </w:pPr>
  </w:style>
  <w:style w:type="character" w:customStyle="1" w:styleId="BodyTextChar">
    <w:name w:val="Body Text Char"/>
    <w:basedOn w:val="DefaultParagraphFont"/>
    <w:link w:val="BodyText"/>
    <w:uiPriority w:val="99"/>
    <w:semiHidden/>
    <w:rsid w:val="00133D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7405C-6FC8-4ABD-B421-3F72C3A85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2</Pages>
  <Words>430</Words>
  <Characters>2453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Ethan Blanchard</dc:creator>
  <cp:keywords/>
  <dc:description/>
  <cp:lastModifiedBy>John Harrison</cp:lastModifiedBy>
  <cp:revision>23</cp:revision>
  <dcterms:created xsi:type="dcterms:W3CDTF">2022-04-29T20:30:00Z</dcterms:created>
  <dcterms:modified xsi:type="dcterms:W3CDTF">2022-06-06T18:38:00Z</dcterms:modified>
</cp:coreProperties>
</file>